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6" w:rsidRPr="00B94742" w:rsidRDefault="00100586" w:rsidP="00100586">
      <w:pPr>
        <w:pStyle w:val="1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B94742">
        <w:rPr>
          <w:rFonts w:ascii="Times New Roman" w:hAnsi="Times New Roman" w:cs="Times New Roman"/>
          <w:caps/>
          <w:sz w:val="18"/>
          <w:szCs w:val="18"/>
        </w:rPr>
        <w:t>Администрация Угличского муниципального РАЙОНА Ярославской области</w:t>
      </w:r>
    </w:p>
    <w:p w:rsidR="00100586" w:rsidRPr="00B94742" w:rsidRDefault="00100586" w:rsidP="00100586">
      <w:pPr>
        <w:pStyle w:val="2"/>
        <w:rPr>
          <w:rFonts w:ascii="Times New Roman" w:hAnsi="Times New Roman" w:cs="Times New Roman"/>
          <w:sz w:val="2"/>
          <w:szCs w:val="2"/>
        </w:rPr>
      </w:pPr>
    </w:p>
    <w:p w:rsidR="00100586" w:rsidRPr="00B94742" w:rsidRDefault="00100586" w:rsidP="00100586">
      <w:pPr>
        <w:pStyle w:val="2"/>
        <w:rPr>
          <w:rFonts w:ascii="Times New Roman" w:hAnsi="Times New Roman" w:cs="Times New Roman"/>
          <w:sz w:val="44"/>
          <w:szCs w:val="44"/>
        </w:rPr>
      </w:pPr>
      <w:r w:rsidRPr="00B94742">
        <w:rPr>
          <w:rFonts w:ascii="Times New Roman" w:hAnsi="Times New Roman" w:cs="Times New Roman"/>
          <w:sz w:val="44"/>
          <w:szCs w:val="44"/>
        </w:rPr>
        <w:t>П Р И К А З</w:t>
      </w:r>
    </w:p>
    <w:p w:rsidR="00100586" w:rsidRPr="00B94742" w:rsidRDefault="00100586" w:rsidP="00100586">
      <w:pPr>
        <w:rPr>
          <w:rFonts w:ascii="Times New Roman" w:hAnsi="Times New Roman" w:cs="Times New Roman"/>
          <w:sz w:val="2"/>
          <w:szCs w:val="2"/>
        </w:rPr>
      </w:pPr>
    </w:p>
    <w:p w:rsidR="00100586" w:rsidRPr="00B94742" w:rsidRDefault="00100586" w:rsidP="00100586">
      <w:pPr>
        <w:pStyle w:val="3"/>
        <w:rPr>
          <w:rFonts w:ascii="Times New Roman" w:hAnsi="Times New Roman" w:cs="Times New Roman"/>
          <w:caps/>
        </w:rPr>
      </w:pPr>
      <w:r w:rsidRPr="00B94742">
        <w:rPr>
          <w:rFonts w:ascii="Times New Roman" w:hAnsi="Times New Roman" w:cs="Times New Roman"/>
          <w:caps/>
        </w:rPr>
        <w:t>НАЧАЛЬНИКА  УПРАВЛЕНИЯ  ФИНАНСОВ</w:t>
      </w:r>
    </w:p>
    <w:p w:rsidR="00100586" w:rsidRDefault="001005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Pr="00100586" w:rsidRDefault="00100586" w:rsidP="00100586">
      <w:pPr>
        <w:rPr>
          <w:rFonts w:ascii="Times New Roman" w:hAnsi="Times New Roman" w:cs="Times New Roman"/>
          <w:sz w:val="28"/>
          <w:szCs w:val="28"/>
        </w:rPr>
      </w:pPr>
      <w:r w:rsidRPr="00100586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0586">
        <w:rPr>
          <w:rFonts w:ascii="Times New Roman" w:hAnsi="Times New Roman" w:cs="Times New Roman"/>
          <w:sz w:val="28"/>
          <w:szCs w:val="28"/>
        </w:rPr>
        <w:t>. 12.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00586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00586" w:rsidRDefault="00100586" w:rsidP="00100586">
      <w:pPr>
        <w:rPr>
          <w:sz w:val="28"/>
          <w:szCs w:val="28"/>
        </w:rPr>
      </w:pPr>
    </w:p>
    <w:p w:rsidR="004D32B4" w:rsidRPr="005A5D4D" w:rsidRDefault="004D32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4D32B4" w:rsidP="0010058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05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санкционирования оплаты денежных </w:t>
      </w:r>
    </w:p>
    <w:p w:rsidR="00100586" w:rsidRDefault="004D32B4" w:rsidP="0010058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05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обязательств получателей средств бюджета </w:t>
      </w:r>
    </w:p>
    <w:p w:rsidR="00100586" w:rsidRDefault="00100586" w:rsidP="0010058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Угличского муниципального района управление</w:t>
      </w:r>
      <w:r w:rsidR="004D32B4" w:rsidRPr="001005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</w:t>
      </w:r>
    </w:p>
    <w:p w:rsidR="004D32B4" w:rsidRPr="00100586" w:rsidRDefault="004D32B4" w:rsidP="0010058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05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финансов </w:t>
      </w:r>
      <w:r w:rsidR="0010058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района</w:t>
      </w:r>
    </w:p>
    <w:p w:rsidR="004D32B4" w:rsidRPr="005A5D4D" w:rsidRDefault="004D32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219 Бюджетного кодекса Российской Федерации: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ПРИКАЗЫВА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Угличского муниципального района управлением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2. Установить, что с 01 января 2011 года полож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ения Порядка, установленные для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казенных учреждений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, распространяются на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бюджетные учреждения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которых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структурными подразделениями Администрации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- главными распорядителями средств бюджета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положений части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не принято решение о предоставлении им субсидий из бюджета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78.1 Бюджетного кодекса Российской Федерации.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у казначейского исполнения бюджета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Белянчикова 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.А.)  довести положения Порядка до сведения главных распорядителей, распорядителей и получателей средств бюджета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5. Приказ вступает в силу с 01 января 2011 года.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Pr="00B94742" w:rsidRDefault="00100586" w:rsidP="00100586">
      <w:pPr>
        <w:pStyle w:val="21"/>
        <w:rPr>
          <w:rFonts w:ascii="Times New Roman" w:hAnsi="Times New Roman" w:cs="Times New Roman"/>
        </w:rPr>
      </w:pPr>
      <w:r w:rsidRPr="00B94742">
        <w:rPr>
          <w:rFonts w:ascii="Times New Roman" w:hAnsi="Times New Roman" w:cs="Times New Roman"/>
        </w:rPr>
        <w:t>Начальник  управления</w:t>
      </w:r>
      <w:r w:rsidRPr="00B94742">
        <w:rPr>
          <w:rFonts w:ascii="Times New Roman" w:hAnsi="Times New Roman" w:cs="Times New Roman"/>
        </w:rPr>
        <w:tab/>
      </w:r>
      <w:r w:rsidRPr="00B94742">
        <w:rPr>
          <w:rFonts w:ascii="Times New Roman" w:hAnsi="Times New Roman" w:cs="Times New Roman"/>
        </w:rPr>
        <w:tab/>
        <w:t xml:space="preserve">     </w:t>
      </w:r>
      <w:r w:rsidRPr="00B94742">
        <w:rPr>
          <w:rFonts w:ascii="Times New Roman" w:hAnsi="Times New Roman" w:cs="Times New Roman"/>
        </w:rPr>
        <w:tab/>
        <w:t xml:space="preserve">                                 А. А. Прокофьев   </w:t>
      </w:r>
    </w:p>
    <w:p w:rsidR="00100586" w:rsidRDefault="00100586" w:rsidP="00100586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B4" w:rsidRPr="005A5D4D" w:rsidRDefault="004D32B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D32B4" w:rsidRPr="005A5D4D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32B4" w:rsidRPr="005A5D4D">
        <w:rPr>
          <w:rFonts w:ascii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</w:t>
      </w:r>
    </w:p>
    <w:p w:rsidR="004D32B4" w:rsidRPr="005A5D4D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4D32B4"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</w:p>
    <w:p w:rsidR="00100586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Угличского муниципального </w:t>
      </w:r>
    </w:p>
    <w:p w:rsidR="004D32B4" w:rsidRPr="005A5D4D" w:rsidRDefault="00100586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4D32B4" w:rsidRPr="005A5D4D" w:rsidRDefault="004D32B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от 3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B9474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00586">
        <w:rPr>
          <w:rFonts w:ascii="Times New Roman" w:hAnsi="Times New Roman" w:cs="Times New Roman"/>
          <w:color w:val="000000"/>
          <w:sz w:val="28"/>
          <w:szCs w:val="28"/>
        </w:rPr>
        <w:t>112</w:t>
      </w:r>
    </w:p>
    <w:p w:rsidR="004D32B4" w:rsidRPr="005A5D4D" w:rsidRDefault="004D32B4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D32B4" w:rsidRPr="005A5D4D" w:rsidRDefault="004D32B4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Угличского муниципального района управлением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4D32B4" w:rsidRPr="005A5D4D" w:rsidRDefault="004D32B4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на основании статьи 219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получатели бюджетных средств)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Угличского муниципального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), лицевые счета которых открыты 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финансов.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получатели бюджетных средств, представляют 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их обслуживания платежный документ на кассовый расход или получение наличных денег (далее - платежный документ) в порядке, установленном в соответствии с бюджетным законодательством Российской Федерации.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Платежный документ при наличии электронного документооборота между получателем бюджетных средств и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м финансов представляется в электронном виде с применением электронной цифровой подписи. При отсутствии электронного документооборота с применением электронной цифровой подписи платежный документ представляется на бумажном носителе.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Платежный документ подписывается руководителем и главным бухгалтером (иными уполномоченными руководителем лицами) получателя бюджетных средств.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3. Ответственный работник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отдела казначейского исполнения бюджета управления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рабочего дня, следующего за днем представления получателем бюджетных средств платежного документа 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финансов, проверяет платежный документ на соответствие установленной форме, наличие в нем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показателей платежного документа указанным в нём документам в соответствии с условиями пункта 6 настоящего Порядка и требованиям, установленным пунктами 10 - 12 настоящего Порядка.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4. Ответственный работник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отдела казначейского исполнения бюджета управления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срока, установленного пунктом 3 настоящего Порядка, проверяет: платежный документ на бумажном носителе на соответствие установленной форме; соответствие подписей и оттиска печати имеющимся образцам, представленным получателем бюджетных средств в соответствии с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Порядком открытия и ведения лицевых счетов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м финансов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Угличского муниципального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5. Платежный документ проверяется на наличие в нем следующих реквизитов и показателей: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номера соответствующего лицевого счета, открытого получателю бюджетных средств;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кодов классификации расходов бюджетов и источников финансирования дефицита бюджета, по которым необходимо произвести кассовый расход (кассовую выплату), а также текстового назначения платежа;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суммы кассового расхода (кассовой выплаты);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суммы налога на добавленную стоимость (при его наличии);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номера учтенного в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бюджетного обязательства получателя бюджетных средств (при его наличии);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номера и серии чека (при наличном способе оплаты денежного обязательства);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срока действия чека (при наличном способе оплаты денежного обязательства);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получателя средств по чеку (при наличном способе оплаты денежного обязательства);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номера, даты и предмета договора (изменений к договору) или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контракта (изменений к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ному контракту) на поставку товаров, выполнение работ, оказание услуг для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ных нужд (далее - </w:t>
      </w:r>
      <w:r w:rsidR="0091492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ный контракт) или договора аренды, и (или) типа, номера, даты документа, подтверждающего возникновение денежного обязательства при поставке товаров (накладной и (или) акта приемки-передачи, и (или) счета-фактуры), выполнении работ, оказании услуг (акта выполненных работ (услуг) и (или) счета, и (или) счета-фактуры), номера и даты исполнительного документа (исполнительного листа, судебного приказа),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Федерации, правовыми актами Министерства финансов Российской Федерации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Ярославской области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и Угличского муниципального района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(далее - документы, подтверждающие возникновение денежных обязательств), в соответствии с абзацем седьмым настоящего Порядка.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Положения абзаца тринадцатого настоящего пункта не применяются: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к счетам для подтверждения возникновения денежных обязательств по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оплате договоров на оказание услуг, заключенных получателем бюджетных средств с физическим лицом, не являющимся индивидуальным предпринимателем;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при проверке платежного документа на получение наличных денег.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В одном платежном документе может содержаться несколько сумм кассовых расходов (кассовых выплат) по разным кодам классификации расходов бюджетов и источников финансирования дефицита бюджета по одному денежному обязательству получателя бюджетных средств.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6. Получатель бюджетных средств для оплаты денежных обязательств, возникающих по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ным контрактам, по договорам аренды указывает в платежном документе в соответствии с требованиями, установленными в абзаце тринадцатом пункта 5 настоящего Порядка, реквизиты и предмет соответствующего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ного контракта, договора аренды, а также реквизиты документа, подтверждающего возникновение денежного обязательства.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ных контрактов, оказание услуг законодательством Российской Федерации не предусмотрено, в платежном документе указываются в соответствии с требованиями, установленными в абзаце тринадцатом пункта 5 настоящего Порядка, только реквизиты соответствующего документа, подтверждающего возникновение денежного обязательства.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бюджетных средств представляет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 вместе с платежным документом указанные в нем в соответствии с абзацем тринадцатым пункта 5 и пунктом 6 настоящего Порядка оригинал и копию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ного контракта или договора аренды и (или) документа, подтверждающего возникновение денежного обязательства (далее - документ-основание) согласно требованиям, установленным пунктом 9 настоящего Порядка.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 социальными выплатами населению;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с предоставлением бюджетных инвестиций юридическим лицам, не являющимся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ными учреждениями;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 предоставлением межбюджетных трансфертов;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 предоставлением платежей и взносов;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с обслуживанием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ного долга;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с исполнением судебных актов по искам к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Угличскому муниципальному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району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Угличского муниципального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либо должностных лиц этих органов.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9. Получатель бюджетных средств представляет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документ-основание в форме электронной копии, созданной посредством сканирования, подтвержденной электронной цифровой подписью уполномоченного лица получателя бюджетных средств (далее - электронная копия документа-основания), либо на бумажном носителе.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ранее созданной в соответствии с условиями настоящего пункта электронной копии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контракта или договора аренды, подтверждение возникновения денежного обязательства, вытекающего из такого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контракта или договора аренды, осуществляется на основании имеющейся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электронной копии документа-основания.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копии документов-оснований подлежат хранению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в соответствии с правилами организации архивного дела.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к платежному документу оригинал документа-основания на бумажном носителе подлежит возврату получателю бюджетных средств, копия документа-основания хранится 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на публичные нормативные обязательства) осуществляется проверка платежного документа по следующим направлениям: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соответствие кодов классификации расходов бюджета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соответствие указанных в платежных документах кодов классификации операций сектора государственного управления (далее - КОСГУ), относящихся к расходам бюджетов,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соответствие содержания операции исходя из документа-основания коду КОСГУ и содержанию текста назначения платежа, указанным в платежном документе;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превышение сумм в платежном документе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ному контракту, договору аренды и иным документам, подтверждающим возникновение денежных обязательств получателя бюджетных средств, поставленного на учет в соответствии с утвержденными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>Угличского муниципального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8171DF"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учета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обязательств, подлежащих исполнению за счет средств бюджета </w:t>
      </w:r>
      <w:r w:rsidR="009D079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(далее - бюджетное обязательство), осуществляется проверка соответствия информации, указанной в платежном документе, реквизитам и показателям бюджетного обязательства на: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идентичность номера, присвоенного бюджетному обязательству, указанному в расшифровке к 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ному контракту, договору аренды и иным документам, подтверждающим возникновение денежных обязательств и платежа;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идентичность кода (кодов) классификации расходов областного бюджета по бюджетному обязательству и платежу;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идентичность предмета бюджетного обязательства и содержания текста назначения платежа;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превышение суммы платежа над суммой неисполненного бюджетного обязательства;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идентичность наименования, ИНН, КПП получателя денежных средств, указанного в платежном документе по бюджетному обязательству и платежу;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превышение размера авансового платежа по бюджетному обязательству и платежу.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на публичные нормативные обязательства осуществляется проверка платежного документа по следующим направлениям: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соответствие кодов классификации расходов областного бюджета,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указанных в платежном документе кодов КОСГУ, относящихся к расходам бюджета 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исходя из содержания текста назначения платежа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- не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>превышение сумм, указанных в платежном документе, остаткам бюджетных ассигнований, учтенных на лицевом счете получателя бюджетных средств.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13. В случае если форма или информация, указанная в платежном документе, не соответствуют требованиям, установленным пунктами 4, 5, 10 и 11 настоящего Порядка, 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отказывает получателю бюджетных средств в приеме платежного документа, и не позднее рабочего дня, следующего за днем его представления получателем бюджетных средств: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при информационном обмене между 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и получателем бюджетных средств на бумажных носителях возвращает получателю бюджетных средств платежный документ со штампом «Отказано» и указанием причины отказа;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- при информационном обмене между </w:t>
      </w:r>
      <w:r w:rsidR="008171DF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м финансов и получателем бюджетных средств в электронном виде возвращает получателю бюджетных 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платежный документ в электронном виде с указанием причины отказа.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>14. При положительном результате проверки в соответствии с требованиями, установленными настоящим Порядком платежный документ принимается к исполнению.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15. При нарушении получателем бюджетных средств требований, установленных для исполнения исполнительных документов, </w:t>
      </w:r>
      <w:r w:rsidR="00317E39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до момента устранения нарушения приостанавливает осуществление операций по расходованию средств на всех лицевых счетах получателя бюджетных средств, открытые в </w:t>
      </w:r>
      <w:r w:rsidR="00317E3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(за исключением операций по исполнению исполнительных документов), с уведомлением получателя бюджетных средств.</w:t>
      </w:r>
    </w:p>
    <w:p w:rsidR="004D32B4" w:rsidRPr="005A5D4D" w:rsidRDefault="004D32B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операций по расходованию средств осуществляется на основании приказа </w:t>
      </w:r>
      <w:r w:rsidR="00317E39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</w:t>
      </w:r>
      <w:r w:rsidRPr="005A5D4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финансов.</w:t>
      </w:r>
    </w:p>
    <w:sectPr w:rsidR="004D32B4" w:rsidRPr="005A5D4D" w:rsidSect="00CA118F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4"/>
    <w:rsid w:val="00100586"/>
    <w:rsid w:val="00317E39"/>
    <w:rsid w:val="004D32B4"/>
    <w:rsid w:val="005A5D4D"/>
    <w:rsid w:val="008171DF"/>
    <w:rsid w:val="00914929"/>
    <w:rsid w:val="00926923"/>
    <w:rsid w:val="009D0799"/>
    <w:rsid w:val="00B94742"/>
    <w:rsid w:val="00C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CA1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10058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0058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100586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CA1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10058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0058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ЯРОСЛАВСКОЙ ОБЛАСТИ</vt:lpstr>
    </vt:vector>
  </TitlesOfParts>
  <Company>d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ЯРОСЛАВСКОЙ ОБЛАСТИ</dc:title>
  <dc:creator>Ксения В. Косолапова</dc:creator>
  <cp:lastModifiedBy>Соболева А.А.</cp:lastModifiedBy>
  <cp:revision>2</cp:revision>
  <cp:lastPrinted>2011-02-14T12:38:00Z</cp:lastPrinted>
  <dcterms:created xsi:type="dcterms:W3CDTF">2020-02-27T06:28:00Z</dcterms:created>
  <dcterms:modified xsi:type="dcterms:W3CDTF">2020-02-27T06:28:00Z</dcterms:modified>
</cp:coreProperties>
</file>